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81916</wp:posOffset>
            </wp:positionH>
            <wp:positionV relativeFrom="paragraph">
              <wp:posOffset>0</wp:posOffset>
            </wp:positionV>
            <wp:extent cx="1845310" cy="338455"/>
            <wp:effectExtent b="0" l="0" r="0" t="0"/>
            <wp:wrapSquare wrapText="bothSides" distB="0" distT="0" distL="114300" distR="114300"/>
            <wp:docPr descr="Imagen que contiene tabla&#10;&#10;Descripción generada automáticamente" id="1" name="image1.png"/>
            <a:graphic>
              <a:graphicData uri="http://schemas.openxmlformats.org/drawingml/2006/picture">
                <pic:pic>
                  <pic:nvPicPr>
                    <pic:cNvPr descr="Imagen que contiene tabla&#10;&#10;Descripción generada automáticamente" id="0" name="image1.png"/>
                    <pic:cNvPicPr preferRelativeResize="0"/>
                  </pic:nvPicPr>
                  <pic:blipFill>
                    <a:blip r:embed="rId6"/>
                    <a:srcRect b="25298" l="0" r="0" t="16913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38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Salud, digitalización y cambio climático, entre los sectores más afectados por el Covid-19</w:t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  <w:i w:val="1"/>
          <w:color w:val="59595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sz w:val="24"/>
          <w:szCs w:val="24"/>
          <w:rtl w:val="0"/>
        </w:rPr>
        <w:t xml:space="preserve">El impacto de la pandemia en los sectores de salud, cambio climático y digitalización amenaza con expandir las brechas entre las economías más avanzadas y las regiones en desarrollo. Para evitarlo, se requiere más inversión pública y cooperación internacional, según un grupo de expertos internacionales reunidos virtualmente en el segundo día de la Conferencia Anual de CAF.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rtl w:val="0"/>
        </w:rPr>
        <w:t xml:space="preserve">(Washington DC, 10 de septiembre de 20202</w:t>
      </w: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.- El Covid-19 ha puesto a prueba simultáneamente a todos los sectores sociales y económicos del planeta, pero la respuesta ha variado significativamente en función del país, dejando en evidencia las brechas que existen entre las economías más avanzadas y las regiones en desarrollo. 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Esta es una de las principales conclusiones a la que llegaron un grupo de expertos internacionales reunidos en el segundo día de la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sz w:val="24"/>
            <w:szCs w:val="24"/>
            <w:u w:val="single"/>
            <w:rtl w:val="0"/>
          </w:rPr>
          <w:t xml:space="preserve">Conferencia Anual de CAF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-banco de desarrollo de América Latina-, que abordó el impacto del Covid-19 en los sistemas de salud, en la lucha contra el cambio climático y en la digitalización de países, colectivos vulnerables, empresas y gobiernos. 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impacto de la pandemia en los sistemas de salud ha revelado la importancia de contar con sistemas públicos eficientes, personal médico preparado y acceso a infraestructura hospitalaria. En este sentido, la triple crisis (económica, social y sanitaria) ha expuesto las profundas inequidades que vive América Latina y que golpea con mayor fuerza a las poblaciones vulnerables. </w:t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“Ningún país puede solucionarlo solo, merece un trabajo conjunto para combatir esta triple crisis. Solo con una acción colectiva y concertada enfrentaremos al Covid-19 y podremos detener la transmisión de la infección”, dijo Carissa F. Etienne, directora regional para las Américas de la OMS. 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Para Deisy Ventura, profesora de Ética Global de la Salud en la Universidad de São Paulo, aseguró que “la salud pública no debería volver a ser algo aislado después de la pandemia, porque el Covid-19, nos ha hecho ver que la salud debe ser una prioridad presupuestaria y política”. 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cambio climático es también uno de los retos pendientes a nivel internacional. Con el Covid-19, su presencia en los medios de comunicación ha disminuido, pero no lo ha hecho el aumento de la temperatura global. 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1212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rtl w:val="0"/>
        </w:rPr>
        <w:t xml:space="preserve">El cambio climático es “una crisis que puede ser más profunda y prolongada que la provocada por el coronavirus si no se actúa a tiempo y con los recursos necesarios”, dijo 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Yolanda Kakabadse, presidenta del Consejo Asesor de Futuro Latinoamericano. En esta misma línea se expresó Brigitte Baptiste, rectora de la Universidad Ean de Bogotá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rtl w:val="0"/>
        </w:rPr>
        <w:t xml:space="preserve">“Los sistemas vivos se están deteriorando y eso es una amenaza para el ecosistema”, dijo.</w:t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02020"/>
          <w:sz w:val="24"/>
          <w:szCs w:val="24"/>
          <w:highlight w:val="white"/>
          <w:rtl w:val="0"/>
        </w:rPr>
        <w:t xml:space="preserve">La pandemia también trajo consigo el reto de conectividad, que ha movilizado tanto a gobiernos como empresas para innovar y afrontar los nuevos desafíos. Para los expertos, la buena noticia es que la pandemia ha acelerado el proceso de digitalización y permitirá el acceso a educación y servicios de salud para más personas. Sin embargo, para cumplir con estas expectativas, es necesario que los países cuenten con infraestructura básica de conectividad y con un marco regulatorio para que las empresas puedan ofrecer servicios de interés público, sin olvidar temas clave como seguridad y privacidad.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02020"/>
          <w:sz w:val="24"/>
          <w:szCs w:val="24"/>
          <w:highlight w:val="white"/>
          <w:rtl w:val="0"/>
        </w:rPr>
        <w:t xml:space="preserve">“Si bien la región enfrenta una crisis socioeconómica sin precedentes, hay un gran contraste en cuanto a la tecnología y las posibilidades que se presentan. Los gobiernos y las empresas están innovando y este es el único camino para tener una América Latina más productiva”, dijo </w:t>
      </w:r>
      <w:r w:rsidDel="00000000" w:rsidR="00000000" w:rsidRPr="00000000">
        <w:rPr>
          <w:rFonts w:ascii="Arial Narrow" w:cs="Arial Narrow" w:eastAsia="Arial Narrow" w:hAnsi="Arial Narrow"/>
          <w:b w:val="0"/>
          <w:color w:val="202020"/>
          <w:sz w:val="24"/>
          <w:szCs w:val="24"/>
          <w:highlight w:val="white"/>
          <w:rtl w:val="0"/>
        </w:rPr>
        <w:t xml:space="preserve">Angel Melguizo</w:t>
      </w:r>
      <w:r w:rsidDel="00000000" w:rsidR="00000000" w:rsidRPr="00000000">
        <w:rPr>
          <w:rFonts w:ascii="Arial Narrow" w:cs="Arial Narrow" w:eastAsia="Arial Narrow" w:hAnsi="Arial Narrow"/>
          <w:color w:val="202020"/>
          <w:sz w:val="24"/>
          <w:szCs w:val="24"/>
          <w:highlight w:val="white"/>
          <w:rtl w:val="0"/>
        </w:rPr>
        <w:t xml:space="preserve">, vicepresidente de Asuntos Externos y Regulatorios de AT&amp;T para América Latina.</w:t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02020"/>
          <w:sz w:val="24"/>
          <w:szCs w:val="24"/>
          <w:highlight w:val="white"/>
          <w:rtl w:val="0"/>
        </w:rPr>
        <w:t xml:space="preserve">Por su parte, </w:t>
      </w:r>
      <w:r w:rsidDel="00000000" w:rsidR="00000000" w:rsidRPr="00000000">
        <w:rPr>
          <w:rFonts w:ascii="Arial Narrow" w:cs="Arial Narrow" w:eastAsia="Arial Narrow" w:hAnsi="Arial Narrow"/>
          <w:b w:val="0"/>
          <w:color w:val="202020"/>
          <w:sz w:val="24"/>
          <w:szCs w:val="24"/>
          <w:highlight w:val="white"/>
          <w:rtl w:val="0"/>
        </w:rPr>
        <w:t xml:space="preserve">Silvia Moschini</w:t>
      </w:r>
      <w:r w:rsidDel="00000000" w:rsidR="00000000" w:rsidRPr="00000000">
        <w:rPr>
          <w:rFonts w:ascii="Arial Narrow" w:cs="Arial Narrow" w:eastAsia="Arial Narrow" w:hAnsi="Arial Narrow"/>
          <w:color w:val="202020"/>
          <w:sz w:val="24"/>
          <w:szCs w:val="24"/>
          <w:highlight w:val="white"/>
          <w:rtl w:val="0"/>
        </w:rPr>
        <w:t xml:space="preserve">, Cofundadora y Presidenta, TransparentBusiness Inc, aseguró que “se demostró que se podía hacer teletrabajo, telemedicina y educación remota. Este cambio mejorará las economías y la continuidad del trabajo”.</w:t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La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sz w:val="24"/>
            <w:szCs w:val="24"/>
            <w:u w:val="single"/>
            <w:rtl w:val="0"/>
          </w:rPr>
          <w:t xml:space="preserve">Conferencia Anual de CAF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continuará mañana 11 de septiembre con discusiones sobre el impacto del Covid-19 en la democracia y el Estado de Derecho en América Latina, y sobre las implicaciones de las elecciones presidenciales de Estados Unidos en América Latina y el Caribe.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Quattrocento Sans" w:cs="Quattrocento Sans" w:eastAsia="Quattrocento Sans" w:hAnsi="Quattrocento Sans"/>
          <w:color w:val="212121"/>
          <w:sz w:val="27"/>
          <w:szCs w:val="27"/>
        </w:rPr>
      </w:pPr>
      <w:r w:rsidDel="00000000" w:rsidR="00000000" w:rsidRPr="00000000">
        <w:rPr>
          <w:rFonts w:ascii="Arial Narrow" w:cs="Arial Narrow" w:eastAsia="Arial Narrow" w:hAnsi="Arial Narrow"/>
          <w:color w:val="212121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 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Quattrocento Sans" w:cs="Quattrocento Sans" w:eastAsia="Quattrocento Sans" w:hAnsi="Quattrocento Sans"/>
          <w:color w:val="212121"/>
          <w:sz w:val="27"/>
          <w:szCs w:val="27"/>
        </w:rPr>
      </w:pPr>
      <w:r w:rsidDel="00000000" w:rsidR="00000000" w:rsidRPr="00000000">
        <w:rPr>
          <w:rFonts w:ascii="Arial Narrow" w:cs="Arial Narrow" w:eastAsia="Arial Narrow" w:hAnsi="Arial Narrow"/>
          <w:color w:val="212121"/>
          <w:sz w:val="18"/>
          <w:szCs w:val="18"/>
          <w:rtl w:val="0"/>
        </w:rPr>
        <w:t xml:space="preserve">CAF, Dirección de Comunicación Estratégica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Quattrocento Sans" w:cs="Quattrocento Sans" w:eastAsia="Quattrocento Sans" w:hAnsi="Quattrocento Sans"/>
          <w:color w:val="212121"/>
          <w:sz w:val="27"/>
          <w:szCs w:val="27"/>
        </w:rPr>
      </w:pPr>
      <w:r w:rsidDel="00000000" w:rsidR="00000000" w:rsidRPr="00000000">
        <w:rPr>
          <w:rFonts w:ascii="Arial Narrow" w:cs="Arial Narrow" w:eastAsia="Arial Narrow" w:hAnsi="Arial Narrow"/>
          <w:color w:val="212121"/>
          <w:sz w:val="18"/>
          <w:szCs w:val="18"/>
          <w:highlight w:val="white"/>
          <w:rtl w:val="0"/>
        </w:rPr>
        <w:t xml:space="preserve">Encuéntrenos en: Facebook: 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highlight w:val="white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212121"/>
          <w:sz w:val="18"/>
          <w:szCs w:val="18"/>
          <w:highlight w:val="white"/>
          <w:rtl w:val="0"/>
        </w:rPr>
        <w:t xml:space="preserve"> / Twitter: @AgendaCAF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Quattrocento Sans" w:cs="Quattrocento Sans" w:eastAsia="Quattrocento Sans" w:hAnsi="Quattrocento Sans"/>
          <w:color w:val="21212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02020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CAF.America.Latina" TargetMode="External"/><Relationship Id="rId9" Type="http://schemas.openxmlformats.org/officeDocument/2006/relationships/hyperlink" Target="http://www.caf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f.com/es/actualidad/eventos/2020/09/24-conferencia-anual-caf/" TargetMode="External"/><Relationship Id="rId8" Type="http://schemas.openxmlformats.org/officeDocument/2006/relationships/hyperlink" Target="https://www.caf.com/es/actualidad/eventos/2020/09/24-conferencia-anual-caf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